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r>
        <w:rPr>
          <w:rFonts w:hint="eastAsia" w:ascii="黑体" w:hAnsi="黑体" w:eastAsia="黑体"/>
          <w:sz w:val="36"/>
        </w:rPr>
        <w:t>池州市地方标准编制说明</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031"/>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b/>
                <w:sz w:val="24"/>
                <w:szCs w:val="24"/>
              </w:rPr>
            </w:pPr>
            <w:r>
              <w:rPr>
                <w:b/>
                <w:sz w:val="24"/>
                <w:szCs w:val="24"/>
              </w:rPr>
              <w:t>标准名称</w:t>
            </w:r>
          </w:p>
        </w:tc>
        <w:tc>
          <w:tcPr>
            <w:tcW w:w="6713" w:type="dxa"/>
            <w:gridSpan w:val="5"/>
          </w:tcPr>
          <w:p>
            <w:pPr>
              <w:spacing w:line="360" w:lineRule="auto"/>
              <w:jc w:val="center"/>
              <w:rPr>
                <w:sz w:val="24"/>
                <w:szCs w:val="24"/>
              </w:rPr>
            </w:pPr>
            <w:r>
              <w:rPr>
                <w:rFonts w:hint="eastAsia"/>
                <w:sz w:val="24"/>
                <w:szCs w:val="24"/>
              </w:rPr>
              <w:t>西山焦枣小作坊生产加工规范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b/>
                <w:sz w:val="24"/>
                <w:szCs w:val="24"/>
              </w:rPr>
            </w:pPr>
            <w:r>
              <w:rPr>
                <w:b/>
                <w:sz w:val="24"/>
                <w:szCs w:val="24"/>
              </w:rPr>
              <w:t>任务来源</w:t>
            </w:r>
          </w:p>
          <w:p>
            <w:pPr>
              <w:spacing w:line="360" w:lineRule="auto"/>
              <w:jc w:val="center"/>
              <w:rPr>
                <w:b/>
                <w:sz w:val="24"/>
                <w:szCs w:val="24"/>
              </w:rPr>
            </w:pPr>
            <w:r>
              <w:rPr>
                <w:rFonts w:hint="eastAsia"/>
                <w:b/>
                <w:sz w:val="24"/>
                <w:szCs w:val="24"/>
              </w:rPr>
              <w:t>（项目计划号）</w:t>
            </w:r>
          </w:p>
        </w:tc>
        <w:tc>
          <w:tcPr>
            <w:tcW w:w="6713" w:type="dxa"/>
            <w:gridSpan w:val="5"/>
          </w:tcPr>
          <w:p>
            <w:pPr>
              <w:spacing w:line="360" w:lineRule="auto"/>
              <w:jc w:val="left"/>
              <w:rPr>
                <w:sz w:val="24"/>
                <w:szCs w:val="24"/>
              </w:rPr>
            </w:pPr>
            <w:r>
              <w:rPr>
                <w:rFonts w:hint="eastAsia"/>
                <w:sz w:val="24"/>
                <w:szCs w:val="24"/>
              </w:rPr>
              <w:t>池州市市场监管局《关于下达2020年池州市地方标准制修订计划的通知》（池市监函[2020]309号）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b/>
                <w:sz w:val="24"/>
                <w:szCs w:val="24"/>
              </w:rPr>
            </w:pPr>
            <w:r>
              <w:rPr>
                <w:b/>
                <w:sz w:val="24"/>
                <w:szCs w:val="24"/>
              </w:rPr>
              <w:t>负责起草单位</w:t>
            </w:r>
          </w:p>
        </w:tc>
        <w:tc>
          <w:tcPr>
            <w:tcW w:w="6713" w:type="dxa"/>
            <w:gridSpan w:val="5"/>
          </w:tcPr>
          <w:p>
            <w:pPr>
              <w:spacing w:line="360" w:lineRule="auto"/>
              <w:jc w:val="left"/>
              <w:rPr>
                <w:sz w:val="24"/>
                <w:szCs w:val="24"/>
              </w:rPr>
            </w:pPr>
            <w:r>
              <w:rPr>
                <w:rFonts w:hint="eastAsia"/>
                <w:sz w:val="24"/>
                <w:szCs w:val="24"/>
              </w:rPr>
              <w:t>池州市贵池区市场监督管理局、贵池区棠溪枣业协会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b/>
                <w:sz w:val="24"/>
                <w:szCs w:val="24"/>
              </w:rPr>
            </w:pPr>
            <w:r>
              <w:rPr>
                <w:b/>
                <w:sz w:val="24"/>
                <w:szCs w:val="24"/>
              </w:rPr>
              <w:t>单位地址</w:t>
            </w:r>
          </w:p>
        </w:tc>
        <w:tc>
          <w:tcPr>
            <w:tcW w:w="6713" w:type="dxa"/>
            <w:gridSpan w:val="5"/>
          </w:tcPr>
          <w:p>
            <w:pPr>
              <w:spacing w:line="360" w:lineRule="auto"/>
              <w:jc w:val="left"/>
              <w:rPr>
                <w:rFonts w:hint="default" w:eastAsiaTheme="minorEastAsia"/>
                <w:sz w:val="24"/>
                <w:szCs w:val="24"/>
                <w:lang w:val="en-US" w:eastAsia="zh-CN"/>
              </w:rPr>
            </w:pPr>
            <w:r>
              <w:rPr>
                <w:rFonts w:hint="eastAsia"/>
                <w:sz w:val="24"/>
                <w:szCs w:val="24"/>
                <w:lang w:eastAsia="zh-CN"/>
              </w:rPr>
              <w:t>池州市贵池区东湖路</w:t>
            </w:r>
            <w:r>
              <w:rPr>
                <w:rFonts w:hint="eastAsia"/>
                <w:sz w:val="24"/>
                <w:szCs w:val="24"/>
                <w:lang w:val="en-US" w:eastAsia="zh-CN"/>
              </w:rPr>
              <w:t>400号、池州市贵池区棠溪镇西山村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b/>
                <w:sz w:val="24"/>
                <w:szCs w:val="24"/>
              </w:rPr>
            </w:pPr>
            <w:r>
              <w:rPr>
                <w:b/>
                <w:sz w:val="24"/>
                <w:szCs w:val="24"/>
              </w:rPr>
              <w:t>参与起草单位</w:t>
            </w:r>
          </w:p>
        </w:tc>
        <w:tc>
          <w:tcPr>
            <w:tcW w:w="6713" w:type="dxa"/>
            <w:gridSpan w:val="5"/>
          </w:tcPr>
          <w:p>
            <w:pPr>
              <w:spacing w:line="360" w:lineRule="auto"/>
              <w:jc w:val="left"/>
              <w:rPr>
                <w:sz w:val="24"/>
                <w:szCs w:val="24"/>
              </w:rPr>
            </w:pPr>
            <w:r>
              <w:rPr>
                <w:rFonts w:hint="eastAsia"/>
                <w:sz w:val="24"/>
                <w:szCs w:val="24"/>
              </w:rPr>
              <w:t>池州市枣紫晶农业有限公司、贵池</w:t>
            </w:r>
            <w:bookmarkStart w:id="0" w:name="_GoBack"/>
            <w:bookmarkEnd w:id="0"/>
            <w:r>
              <w:rPr>
                <w:rFonts w:hint="eastAsia"/>
                <w:sz w:val="24"/>
                <w:szCs w:val="24"/>
              </w:rPr>
              <w:t>区棠溪镇枣之源生态农场、贵池区众联西山焦枣家庭农场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jc w:val="center"/>
              <w:rPr>
                <w:b/>
                <w:sz w:val="24"/>
                <w:szCs w:val="24"/>
              </w:rPr>
            </w:pPr>
            <w:r>
              <w:rPr>
                <w:b/>
                <w:sz w:val="24"/>
                <w:szCs w:val="24"/>
              </w:rPr>
              <w:t>标准起草人</w:t>
            </w:r>
          </w:p>
          <w:p>
            <w:pPr>
              <w:spacing w:line="360" w:lineRule="auto"/>
              <w:jc w:val="center"/>
              <w:rPr>
                <w:sz w:val="24"/>
                <w:szCs w:val="24"/>
              </w:rPr>
            </w:pPr>
            <w:r>
              <w:rPr>
                <w:rFonts w:hint="eastAsia"/>
                <w:b/>
                <w:sz w:val="24"/>
                <w:szCs w:val="24"/>
              </w:rPr>
              <w:t>（全部起草人，应标准文本前言中起草人排序一致）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spacing w:line="360" w:lineRule="auto"/>
              <w:jc w:val="center"/>
              <w:rPr>
                <w:sz w:val="24"/>
                <w:szCs w:val="24"/>
              </w:rPr>
            </w:pPr>
            <w:r>
              <w:rPr>
                <w:sz w:val="24"/>
                <w:szCs w:val="24"/>
              </w:rPr>
              <w:t>序号</w:t>
            </w:r>
          </w:p>
        </w:tc>
        <w:tc>
          <w:tcPr>
            <w:tcW w:w="1031" w:type="dxa"/>
          </w:tcPr>
          <w:p>
            <w:pPr>
              <w:spacing w:line="360" w:lineRule="auto"/>
              <w:jc w:val="center"/>
              <w:rPr>
                <w:sz w:val="24"/>
                <w:szCs w:val="24"/>
              </w:rPr>
            </w:pPr>
            <w:r>
              <w:rPr>
                <w:sz w:val="24"/>
                <w:szCs w:val="24"/>
              </w:rPr>
              <w:t>姓名</w:t>
            </w:r>
          </w:p>
        </w:tc>
        <w:tc>
          <w:tcPr>
            <w:tcW w:w="1420" w:type="dxa"/>
          </w:tcPr>
          <w:p>
            <w:pPr>
              <w:spacing w:line="360" w:lineRule="auto"/>
              <w:jc w:val="center"/>
              <w:rPr>
                <w:sz w:val="24"/>
                <w:szCs w:val="24"/>
              </w:rPr>
            </w:pPr>
            <w:r>
              <w:rPr>
                <w:sz w:val="24"/>
                <w:szCs w:val="24"/>
              </w:rPr>
              <w:t>单位</w:t>
            </w:r>
          </w:p>
        </w:tc>
        <w:tc>
          <w:tcPr>
            <w:tcW w:w="1420" w:type="dxa"/>
          </w:tcPr>
          <w:p>
            <w:pPr>
              <w:spacing w:line="360" w:lineRule="auto"/>
              <w:jc w:val="center"/>
              <w:rPr>
                <w:sz w:val="24"/>
                <w:szCs w:val="24"/>
              </w:rPr>
            </w:pPr>
            <w:r>
              <w:rPr>
                <w:sz w:val="24"/>
                <w:szCs w:val="24"/>
              </w:rPr>
              <w:t>职务</w:t>
            </w:r>
          </w:p>
        </w:tc>
        <w:tc>
          <w:tcPr>
            <w:tcW w:w="1421" w:type="dxa"/>
          </w:tcPr>
          <w:p>
            <w:pPr>
              <w:spacing w:line="360" w:lineRule="auto"/>
              <w:jc w:val="center"/>
              <w:rPr>
                <w:sz w:val="24"/>
                <w:szCs w:val="24"/>
              </w:rPr>
            </w:pPr>
            <w:r>
              <w:rPr>
                <w:sz w:val="24"/>
                <w:szCs w:val="24"/>
              </w:rPr>
              <w:t>职称</w:t>
            </w:r>
          </w:p>
        </w:tc>
        <w:tc>
          <w:tcPr>
            <w:tcW w:w="1421" w:type="dxa"/>
          </w:tcPr>
          <w:p>
            <w:pPr>
              <w:spacing w:line="360" w:lineRule="auto"/>
              <w:jc w:val="center"/>
              <w:rPr>
                <w:sz w:val="24"/>
                <w:szCs w:val="24"/>
              </w:rPr>
            </w:pPr>
            <w:r>
              <w:rPr>
                <w:sz w:val="24"/>
                <w:szCs w:val="24"/>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spacing w:line="360" w:lineRule="auto"/>
              <w:rPr>
                <w:sz w:val="24"/>
                <w:szCs w:val="24"/>
              </w:rPr>
            </w:pPr>
          </w:p>
        </w:tc>
        <w:tc>
          <w:tcPr>
            <w:tcW w:w="1031" w:type="dxa"/>
          </w:tcPr>
          <w:p>
            <w:pPr>
              <w:spacing w:line="360" w:lineRule="auto"/>
              <w:rPr>
                <w:sz w:val="24"/>
                <w:szCs w:val="24"/>
              </w:rPr>
            </w:pPr>
          </w:p>
        </w:tc>
        <w:tc>
          <w:tcPr>
            <w:tcW w:w="1420" w:type="dxa"/>
          </w:tcPr>
          <w:p>
            <w:pPr>
              <w:spacing w:line="360" w:lineRule="auto"/>
              <w:rPr>
                <w:sz w:val="24"/>
                <w:szCs w:val="24"/>
              </w:rPr>
            </w:pPr>
          </w:p>
        </w:tc>
        <w:tc>
          <w:tcPr>
            <w:tcW w:w="1420" w:type="dxa"/>
          </w:tcPr>
          <w:p>
            <w:pPr>
              <w:spacing w:line="360" w:lineRule="auto"/>
              <w:rPr>
                <w:sz w:val="24"/>
                <w:szCs w:val="24"/>
              </w:rPr>
            </w:pPr>
          </w:p>
        </w:tc>
        <w:tc>
          <w:tcPr>
            <w:tcW w:w="1421" w:type="dxa"/>
          </w:tcPr>
          <w:p>
            <w:pPr>
              <w:spacing w:line="360" w:lineRule="auto"/>
              <w:rPr>
                <w:sz w:val="24"/>
                <w:szCs w:val="24"/>
              </w:rPr>
            </w:pPr>
          </w:p>
        </w:tc>
        <w:tc>
          <w:tcPr>
            <w:tcW w:w="1421"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spacing w:line="360" w:lineRule="auto"/>
              <w:rPr>
                <w:sz w:val="24"/>
                <w:szCs w:val="24"/>
              </w:rPr>
            </w:pPr>
          </w:p>
        </w:tc>
        <w:tc>
          <w:tcPr>
            <w:tcW w:w="1031" w:type="dxa"/>
          </w:tcPr>
          <w:p>
            <w:pPr>
              <w:spacing w:line="360" w:lineRule="auto"/>
              <w:rPr>
                <w:sz w:val="24"/>
                <w:szCs w:val="24"/>
              </w:rPr>
            </w:pPr>
          </w:p>
        </w:tc>
        <w:tc>
          <w:tcPr>
            <w:tcW w:w="1420" w:type="dxa"/>
          </w:tcPr>
          <w:p>
            <w:pPr>
              <w:spacing w:line="360" w:lineRule="auto"/>
              <w:rPr>
                <w:sz w:val="24"/>
                <w:szCs w:val="24"/>
              </w:rPr>
            </w:pPr>
          </w:p>
        </w:tc>
        <w:tc>
          <w:tcPr>
            <w:tcW w:w="1420" w:type="dxa"/>
          </w:tcPr>
          <w:p>
            <w:pPr>
              <w:spacing w:line="360" w:lineRule="auto"/>
              <w:rPr>
                <w:sz w:val="24"/>
                <w:szCs w:val="24"/>
              </w:rPr>
            </w:pPr>
          </w:p>
        </w:tc>
        <w:tc>
          <w:tcPr>
            <w:tcW w:w="1421" w:type="dxa"/>
          </w:tcPr>
          <w:p>
            <w:pPr>
              <w:spacing w:line="360" w:lineRule="auto"/>
              <w:rPr>
                <w:sz w:val="24"/>
                <w:szCs w:val="24"/>
              </w:rPr>
            </w:pPr>
          </w:p>
        </w:tc>
        <w:tc>
          <w:tcPr>
            <w:tcW w:w="1421"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spacing w:line="360" w:lineRule="auto"/>
              <w:rPr>
                <w:sz w:val="24"/>
                <w:szCs w:val="24"/>
              </w:rPr>
            </w:pPr>
          </w:p>
        </w:tc>
        <w:tc>
          <w:tcPr>
            <w:tcW w:w="1031" w:type="dxa"/>
          </w:tcPr>
          <w:p>
            <w:pPr>
              <w:spacing w:line="360" w:lineRule="auto"/>
              <w:rPr>
                <w:sz w:val="24"/>
                <w:szCs w:val="24"/>
              </w:rPr>
            </w:pPr>
          </w:p>
        </w:tc>
        <w:tc>
          <w:tcPr>
            <w:tcW w:w="1420" w:type="dxa"/>
          </w:tcPr>
          <w:p>
            <w:pPr>
              <w:spacing w:line="360" w:lineRule="auto"/>
              <w:rPr>
                <w:sz w:val="24"/>
                <w:szCs w:val="24"/>
              </w:rPr>
            </w:pPr>
          </w:p>
        </w:tc>
        <w:tc>
          <w:tcPr>
            <w:tcW w:w="1420" w:type="dxa"/>
          </w:tcPr>
          <w:p>
            <w:pPr>
              <w:spacing w:line="360" w:lineRule="auto"/>
              <w:rPr>
                <w:sz w:val="24"/>
                <w:szCs w:val="24"/>
              </w:rPr>
            </w:pPr>
          </w:p>
        </w:tc>
        <w:tc>
          <w:tcPr>
            <w:tcW w:w="1421" w:type="dxa"/>
          </w:tcPr>
          <w:p>
            <w:pPr>
              <w:spacing w:line="360" w:lineRule="auto"/>
              <w:rPr>
                <w:sz w:val="24"/>
                <w:szCs w:val="24"/>
              </w:rPr>
            </w:pPr>
          </w:p>
        </w:tc>
        <w:tc>
          <w:tcPr>
            <w:tcW w:w="1421" w:type="dxa"/>
          </w:tcPr>
          <w:p>
            <w:p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jc w:val="center"/>
              <w:rPr>
                <w:b/>
                <w:sz w:val="24"/>
                <w:szCs w:val="24"/>
              </w:rPr>
            </w:pPr>
            <w:r>
              <w:rPr>
                <w:b/>
                <w:sz w:val="24"/>
                <w:szCs w:val="24"/>
              </w:rPr>
              <w:t>编制情况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1、编制过程简介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ind w:firstLine="480" w:firstLineChars="200"/>
              <w:rPr>
                <w:rFonts w:hint="eastAsia" w:eastAsiaTheme="minorEastAsia"/>
                <w:sz w:val="24"/>
                <w:szCs w:val="24"/>
                <w:lang w:eastAsia="zh-CN"/>
              </w:rPr>
            </w:pPr>
            <w:r>
              <w:rPr>
                <w:rFonts w:hint="eastAsia"/>
                <w:sz w:val="24"/>
                <w:szCs w:val="24"/>
              </w:rPr>
              <w:t>2020年9月1日，收到《关于下达2020年第池州市地方标准制修订计划的通知》后，成立了编制小组并制定了详细的起草工作计划，起草组成员包括池州市贵池区市场监督管理局、贵池区棠溪枣业协会</w:t>
            </w:r>
            <w:r>
              <w:rPr>
                <w:rFonts w:hint="eastAsia"/>
                <w:sz w:val="24"/>
                <w:szCs w:val="24"/>
                <w:lang w:eastAsia="zh-CN"/>
              </w:rPr>
              <w:t>、</w:t>
            </w:r>
            <w:r>
              <w:rPr>
                <w:rFonts w:hint="eastAsia"/>
                <w:sz w:val="24"/>
                <w:szCs w:val="24"/>
              </w:rPr>
              <w:t>池州市枣紫晶农业有限公司、贵池区棠溪镇枣之源生态农场</w:t>
            </w:r>
            <w:r>
              <w:rPr>
                <w:rFonts w:hint="eastAsia"/>
                <w:sz w:val="24"/>
                <w:szCs w:val="24"/>
                <w:lang w:eastAsia="zh-CN"/>
              </w:rPr>
              <w:t>和</w:t>
            </w:r>
            <w:r>
              <w:rPr>
                <w:rFonts w:hint="eastAsia"/>
                <w:sz w:val="24"/>
                <w:szCs w:val="24"/>
              </w:rPr>
              <w:t>贵池区众联西山焦枣家庭农场</w:t>
            </w:r>
            <w:r>
              <w:rPr>
                <w:rFonts w:hint="eastAsia"/>
                <w:sz w:val="24"/>
                <w:szCs w:val="24"/>
                <w:lang w:eastAsia="zh-CN"/>
              </w:rPr>
              <w:t>。</w:t>
            </w:r>
          </w:p>
          <w:p>
            <w:pPr>
              <w:spacing w:line="360" w:lineRule="auto"/>
              <w:ind w:firstLine="480" w:firstLineChars="200"/>
              <w:rPr>
                <w:sz w:val="24"/>
                <w:szCs w:val="24"/>
              </w:rPr>
            </w:pPr>
            <w:r>
              <w:rPr>
                <w:rFonts w:hint="eastAsia"/>
                <w:sz w:val="24"/>
                <w:szCs w:val="24"/>
              </w:rPr>
              <w:t>编制小组围绕</w:t>
            </w:r>
            <w:r>
              <w:rPr>
                <w:rFonts w:hint="eastAsia"/>
                <w:sz w:val="24"/>
                <w:szCs w:val="24"/>
                <w:lang w:eastAsia="zh-CN"/>
              </w:rPr>
              <w:t>贵池区</w:t>
            </w:r>
            <w:r>
              <w:rPr>
                <w:rFonts w:hint="eastAsia"/>
                <w:sz w:val="24"/>
                <w:szCs w:val="24"/>
              </w:rPr>
              <w:t>特色</w:t>
            </w:r>
            <w:r>
              <w:rPr>
                <w:rFonts w:hint="eastAsia"/>
                <w:sz w:val="24"/>
                <w:szCs w:val="24"/>
                <w:lang w:eastAsia="zh-CN"/>
              </w:rPr>
              <w:t>产品西山焦枣的生产加工</w:t>
            </w:r>
            <w:r>
              <w:rPr>
                <w:rFonts w:hint="eastAsia"/>
                <w:sz w:val="24"/>
                <w:szCs w:val="24"/>
              </w:rPr>
              <w:t>开展了广泛而深入的调研，结合文献资料分析，提出西山焦枣小作坊生产加工规范，并收集相关传统制作方法，结合标准化原理，提炼出标准化要素，开始标准草案的编制工作，经过多次组内讨论后形成《西山焦枣小作坊生产加工规范》（征求意见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2、制定标准的必要性和意义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ind w:firstLine="360" w:firstLineChars="150"/>
              <w:rPr>
                <w:rFonts w:hint="eastAsia"/>
                <w:sz w:val="24"/>
                <w:szCs w:val="24"/>
              </w:rPr>
            </w:pPr>
            <w:r>
              <w:rPr>
                <w:rFonts w:hint="eastAsia"/>
                <w:sz w:val="24"/>
                <w:szCs w:val="24"/>
              </w:rPr>
              <w:t>西山焦枣是池州地方特色食品，以贵池区棠溪镇西山和东山的新鲜枣子为原料，经过分拣、杀青、晾晒、清洗、蒸煮、烘干等工序制作而成，市场产销良好。</w:t>
            </w:r>
          </w:p>
          <w:p>
            <w:pPr>
              <w:spacing w:line="360" w:lineRule="auto"/>
              <w:ind w:firstLine="360" w:firstLineChars="150"/>
              <w:rPr>
                <w:rFonts w:hint="eastAsia"/>
                <w:sz w:val="24"/>
                <w:szCs w:val="24"/>
              </w:rPr>
            </w:pPr>
            <w:r>
              <w:rPr>
                <w:rFonts w:hint="eastAsia"/>
                <w:sz w:val="24"/>
                <w:szCs w:val="24"/>
              </w:rPr>
              <w:t>小作坊作为西山焦枣生产加工经营行业的重要组成部分,在产业发展方面发挥了积极作用。越来越多的食品小作坊的出现,在便利的背后,一些安全问题也不断的涌现出来。规模小、分布散、卫生条件参差不齐、生产方式落后，导致了西山焦枣小作坊成为食品安全和质量提升的薄弱环节，成为当前迫切需要解决的“难题”。为此，池州市贵池区市场监管局会同贵池区棠溪枣业协会及相关生产单位拟起草《西山焦枣小作坊生产加工规范》，对西山焦枣小作坊生产过程中基本要求、生产加工场所、设备设施、原辅材料、生产过程控制、产品储运和销售、产品检验等方面进行规范，适用于池州市行政区域范围内西山焦枣的加工制作。</w:t>
            </w:r>
          </w:p>
          <w:p>
            <w:pPr>
              <w:spacing w:line="360" w:lineRule="auto"/>
              <w:ind w:firstLine="360" w:firstLineChars="150"/>
              <w:rPr>
                <w:sz w:val="24"/>
                <w:szCs w:val="24"/>
              </w:rPr>
            </w:pPr>
            <w:r>
              <w:rPr>
                <w:rFonts w:hint="eastAsia"/>
                <w:sz w:val="24"/>
                <w:szCs w:val="24"/>
              </w:rPr>
              <w:t>制定该标准，有利于提高西山焦枣产品质量，有利于提高小作坊食品安全管理意识和保障水平，有利于推进西山焦枣生产加工规模化和规范化，打造品质优良、知名度高、市场欢迎的特色品牌，推动西山焦枣产业做大做强，奋力开创新时代农业农村现代化新局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3、制定标准的原则和依据，与现行法律法规、标准的关系。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sz w:val="24"/>
                <w:szCs w:val="24"/>
              </w:rPr>
            </w:pPr>
            <w:r>
              <w:rPr>
                <w:rFonts w:hint="eastAsia"/>
                <w:sz w:val="24"/>
                <w:szCs w:val="24"/>
              </w:rPr>
              <w:t>（1）</w:t>
            </w:r>
            <w:r>
              <w:rPr>
                <w:sz w:val="24"/>
                <w:szCs w:val="24"/>
              </w:rPr>
              <w:t>原则</w:t>
            </w:r>
            <w:r>
              <w:rPr>
                <w:rFonts w:hint="eastAsia"/>
                <w:sz w:val="24"/>
                <w:szCs w:val="24"/>
              </w:rPr>
              <w:t>：a）</w:t>
            </w:r>
            <w:r>
              <w:rPr>
                <w:sz w:val="24"/>
                <w:szCs w:val="24"/>
              </w:rPr>
              <w:t>科学性</w:t>
            </w:r>
            <w:r>
              <w:rPr>
                <w:rFonts w:hint="eastAsia"/>
                <w:sz w:val="24"/>
                <w:szCs w:val="24"/>
              </w:rPr>
              <w:t>。</w:t>
            </w:r>
            <w:r>
              <w:rPr>
                <w:sz w:val="24"/>
                <w:szCs w:val="24"/>
              </w:rPr>
              <w:t>标准在编制的过程中</w:t>
            </w:r>
            <w:r>
              <w:rPr>
                <w:rFonts w:hint="eastAsia"/>
                <w:sz w:val="24"/>
                <w:szCs w:val="24"/>
              </w:rPr>
              <w:t>，</w:t>
            </w:r>
            <w:r>
              <w:rPr>
                <w:sz w:val="24"/>
                <w:szCs w:val="24"/>
              </w:rPr>
              <w:t>针对</w:t>
            </w:r>
            <w:r>
              <w:rPr>
                <w:rFonts w:hint="eastAsia"/>
                <w:sz w:val="24"/>
                <w:szCs w:val="24"/>
                <w:lang w:eastAsia="zh-CN"/>
              </w:rPr>
              <w:t>西山焦枣</w:t>
            </w:r>
            <w:r>
              <w:rPr>
                <w:sz w:val="24"/>
                <w:szCs w:val="24"/>
              </w:rPr>
              <w:t>的生产经营情况</w:t>
            </w:r>
            <w:r>
              <w:rPr>
                <w:rFonts w:hint="eastAsia"/>
                <w:sz w:val="24"/>
                <w:szCs w:val="24"/>
              </w:rPr>
              <w:t>，</w:t>
            </w:r>
            <w:r>
              <w:rPr>
                <w:sz w:val="24"/>
                <w:szCs w:val="24"/>
              </w:rPr>
              <w:t>进行了充分的调查研究</w:t>
            </w:r>
            <w:r>
              <w:rPr>
                <w:rFonts w:hint="eastAsia"/>
                <w:sz w:val="24"/>
                <w:szCs w:val="24"/>
              </w:rPr>
              <w:t>，</w:t>
            </w:r>
            <w:r>
              <w:rPr>
                <w:sz w:val="24"/>
                <w:szCs w:val="24"/>
              </w:rPr>
              <w:t>标准条款的制定符合实际情况</w:t>
            </w:r>
            <w:r>
              <w:rPr>
                <w:rFonts w:hint="eastAsia"/>
                <w:sz w:val="24"/>
                <w:szCs w:val="24"/>
              </w:rPr>
              <w:t>；b）广泛性。编制过程中充分考虑了</w:t>
            </w:r>
            <w:r>
              <w:rPr>
                <w:rFonts w:hint="eastAsia"/>
                <w:sz w:val="24"/>
                <w:szCs w:val="24"/>
                <w:lang w:eastAsia="zh-CN"/>
              </w:rPr>
              <w:t>西山焦枣</w:t>
            </w:r>
            <w:r>
              <w:rPr>
                <w:rFonts w:hint="eastAsia"/>
                <w:sz w:val="24"/>
                <w:szCs w:val="24"/>
              </w:rPr>
              <w:t>的生产经营情况，并征求了各级管理部门意见；c）协调性。通过查询国内相关法律法规、标准技术规范的情况下，与法律法规、政策文件和已有的相关技术标准协调一致。d）先进性。目前尚无</w:t>
            </w:r>
            <w:r>
              <w:rPr>
                <w:rFonts w:hint="eastAsia"/>
                <w:sz w:val="24"/>
                <w:szCs w:val="24"/>
                <w:lang w:eastAsia="zh-CN"/>
              </w:rPr>
              <w:t>焦枣生产加工</w:t>
            </w:r>
            <w:r>
              <w:rPr>
                <w:rFonts w:hint="eastAsia"/>
                <w:sz w:val="24"/>
                <w:szCs w:val="24"/>
              </w:rPr>
              <w:t>相关的国家、行业及地方标准，制定《西山焦枣小作坊生产加工规范》具有一定的先进性。</w:t>
            </w:r>
          </w:p>
          <w:p>
            <w:pPr>
              <w:pStyle w:val="11"/>
              <w:widowControl w:val="0"/>
              <w:spacing w:line="360" w:lineRule="auto"/>
              <w:ind w:firstLine="0" w:firstLineChars="0"/>
              <w:rPr>
                <w:rFonts w:asciiTheme="minorHAnsi"/>
                <w:sz w:val="24"/>
                <w:szCs w:val="24"/>
              </w:rPr>
            </w:pPr>
            <w:r>
              <w:rPr>
                <w:rFonts w:hint="eastAsia" w:asciiTheme="minorHAnsi"/>
                <w:sz w:val="24"/>
                <w:szCs w:val="24"/>
              </w:rPr>
              <w:t>（2）依据：《中华人民共和国食品安全法》、《中华人民共和国标准化法》、《</w:t>
            </w:r>
            <w:r>
              <w:rPr>
                <w:rFonts w:hint="eastAsia" w:asciiTheme="minorHAnsi"/>
                <w:sz w:val="24"/>
                <w:szCs w:val="24"/>
                <w:lang w:eastAsia="zh-CN"/>
              </w:rPr>
              <w:t>食品安全国家标准</w:t>
            </w:r>
            <w:r>
              <w:rPr>
                <w:rFonts w:hint="eastAsia" w:asciiTheme="minorHAnsi"/>
                <w:sz w:val="24"/>
                <w:szCs w:val="24"/>
              </w:rPr>
              <w:t>》</w:t>
            </w:r>
            <w:r>
              <w:rPr>
                <w:rFonts w:hint="eastAsia" w:asciiTheme="minorHAnsi"/>
                <w:sz w:val="24"/>
                <w:szCs w:val="24"/>
                <w:lang w:eastAsia="zh-CN"/>
              </w:rPr>
              <w:t>、</w:t>
            </w:r>
            <w:r>
              <w:rPr>
                <w:rFonts w:hint="eastAsia" w:asciiTheme="minorHAnsi"/>
                <w:sz w:val="24"/>
                <w:szCs w:val="24"/>
              </w:rPr>
              <w:t>《</w:t>
            </w:r>
            <w:r>
              <w:rPr>
                <w:rFonts w:hint="eastAsia" w:asciiTheme="minorHAnsi"/>
                <w:sz w:val="24"/>
                <w:szCs w:val="24"/>
                <w:lang w:eastAsia="zh-CN"/>
              </w:rPr>
              <w:t>生活饮用水卫生标准</w:t>
            </w:r>
            <w:r>
              <w:rPr>
                <w:rFonts w:hint="eastAsia" w:asciiTheme="minorHAnsi"/>
                <w:sz w:val="24"/>
                <w:szCs w:val="24"/>
              </w:rPr>
              <w:t>》。</w:t>
            </w:r>
          </w:p>
          <w:p>
            <w:pPr>
              <w:pStyle w:val="11"/>
              <w:widowControl w:val="0"/>
              <w:spacing w:line="360" w:lineRule="auto"/>
              <w:ind w:firstLine="0" w:firstLineChars="0"/>
              <w:rPr>
                <w:rFonts w:hAnsi="宋体" w:cs="仿宋"/>
                <w:color w:val="000000"/>
                <w:spacing w:val="1"/>
                <w:sz w:val="28"/>
              </w:rPr>
            </w:pPr>
            <w:r>
              <w:rPr>
                <w:rFonts w:hint="eastAsia" w:asciiTheme="minorHAnsi"/>
                <w:sz w:val="24"/>
                <w:szCs w:val="24"/>
              </w:rPr>
              <w:t>（3）</w:t>
            </w:r>
            <w:r>
              <w:rPr>
                <w:rFonts w:ascii="Calibri" w:hAnsi="Calibri" w:eastAsia="宋体" w:cs="Times New Roman"/>
                <w:sz w:val="24"/>
                <w:szCs w:val="24"/>
              </w:rPr>
              <w:t>本标准依据相关的现行法律、法规和强制性标准制定。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4、主要条款的说明，主要技术指标、参数、试验验证的论述（详细说明）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本标准确定了</w:t>
            </w:r>
            <w:r>
              <w:rPr>
                <w:rFonts w:hint="eastAsia"/>
                <w:color w:val="000000" w:themeColor="text1"/>
                <w:sz w:val="24"/>
                <w:szCs w:val="24"/>
                <w:lang w:eastAsia="zh-CN"/>
                <w14:textFill>
                  <w14:solidFill>
                    <w14:schemeClr w14:val="tx1"/>
                  </w14:solidFill>
                </w14:textFill>
              </w:rPr>
              <w:t>西山焦枣及焦枣小作坊</w:t>
            </w:r>
            <w:r>
              <w:rPr>
                <w:rFonts w:hint="eastAsia"/>
                <w:color w:val="000000" w:themeColor="text1"/>
                <w:sz w:val="24"/>
                <w:szCs w:val="24"/>
                <w14:textFill>
                  <w14:solidFill>
                    <w14:schemeClr w14:val="tx1"/>
                  </w14:solidFill>
                </w14:textFill>
              </w:rPr>
              <w:t>的术语和定义、</w:t>
            </w:r>
            <w:r>
              <w:rPr>
                <w:rFonts w:hint="eastAsia"/>
                <w:color w:val="000000" w:themeColor="text1"/>
                <w:sz w:val="24"/>
                <w:szCs w:val="24"/>
                <w:lang w:eastAsia="zh-CN"/>
                <w14:textFill>
                  <w14:solidFill>
                    <w14:schemeClr w14:val="tx1"/>
                  </w14:solidFill>
                </w14:textFill>
              </w:rPr>
              <w:t>基本要求</w:t>
            </w:r>
            <w:r>
              <w:rPr>
                <w:rFonts w:hint="eastAsia"/>
                <w:color w:val="000000" w:themeColor="text1"/>
                <w:sz w:val="24"/>
                <w:szCs w:val="24"/>
                <w14:textFill>
                  <w14:solidFill>
                    <w14:schemeClr w14:val="tx1"/>
                  </w14:solidFill>
                </w14:textFill>
              </w:rPr>
              <w:t>及制作要求。</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（1）术语和定义：给出了</w:t>
            </w:r>
            <w:r>
              <w:rPr>
                <w:rFonts w:hint="eastAsia"/>
                <w:color w:val="000000" w:themeColor="text1"/>
                <w:sz w:val="24"/>
                <w:szCs w:val="24"/>
                <w:lang w:eastAsia="zh-CN"/>
                <w14:textFill>
                  <w14:solidFill>
                    <w14:schemeClr w14:val="tx1"/>
                  </w14:solidFill>
                </w14:textFill>
              </w:rPr>
              <w:t>西山焦枣及焦枣小作坊</w:t>
            </w:r>
            <w:r>
              <w:rPr>
                <w:rFonts w:hint="eastAsia"/>
                <w:color w:val="000000" w:themeColor="text1"/>
                <w:sz w:val="24"/>
                <w:szCs w:val="24"/>
                <w14:textFill>
                  <w14:solidFill>
                    <w14:schemeClr w14:val="tx1"/>
                  </w14:solidFill>
                </w14:textFill>
              </w:rPr>
              <w:t>等术语和定义。</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（3）基本要求：从原料、辅料、环境卫生等方面提出要求。</w:t>
            </w:r>
          </w:p>
          <w:p>
            <w:pPr>
              <w:spacing w:line="360" w:lineRule="auto"/>
              <w:rPr>
                <w:rFonts w:hint="eastAsia" w:eastAsiaTheme="minorEastAsia"/>
                <w:sz w:val="24"/>
                <w:szCs w:val="24"/>
                <w:lang w:eastAsia="zh-CN"/>
              </w:rPr>
            </w:pPr>
            <w:r>
              <w:rPr>
                <w:rFonts w:hint="eastAsia"/>
                <w:color w:val="000000" w:themeColor="text1"/>
                <w:sz w:val="24"/>
                <w:szCs w:val="24"/>
                <w14:textFill>
                  <w14:solidFill>
                    <w14:schemeClr w14:val="tx1"/>
                  </w14:solidFill>
                </w14:textFill>
              </w:rPr>
              <w:t>（4）制作要求：根据调研，并结合相关资料，提出</w:t>
            </w:r>
            <w:r>
              <w:rPr>
                <w:rFonts w:hint="eastAsia"/>
                <w:color w:val="000000" w:themeColor="text1"/>
                <w:sz w:val="24"/>
                <w:szCs w:val="24"/>
                <w:lang w:eastAsia="zh-CN"/>
                <w14:textFill>
                  <w14:solidFill>
                    <w14:schemeClr w14:val="tx1"/>
                  </w14:solidFill>
                </w14:textFill>
              </w:rPr>
              <w:t>西山焦枣小作坊</w:t>
            </w:r>
            <w:r>
              <w:rPr>
                <w:rFonts w:hint="eastAsia"/>
                <w:color w:val="000000" w:themeColor="text1"/>
                <w:sz w:val="24"/>
                <w:szCs w:val="24"/>
                <w14:textFill>
                  <w14:solidFill>
                    <w14:schemeClr w14:val="tx1"/>
                  </w14:solidFill>
                </w14:textFill>
              </w:rPr>
              <w:t>的传统做法</w:t>
            </w:r>
            <w:r>
              <w:rPr>
                <w:rFonts w:hint="eastAsia"/>
                <w:color w:val="000000" w:themeColor="text1"/>
                <w:sz w:val="24"/>
                <w:szCs w:val="24"/>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3" w:hRule="atLeast"/>
        </w:trPr>
        <w:tc>
          <w:tcPr>
            <w:tcW w:w="8522" w:type="dxa"/>
            <w:gridSpan w:val="6"/>
          </w:tcPr>
          <w:p>
            <w:pPr>
              <w:spacing w:line="360" w:lineRule="auto"/>
              <w:rPr>
                <w:b/>
                <w:sz w:val="24"/>
                <w:szCs w:val="24"/>
              </w:rPr>
            </w:pPr>
            <w:r>
              <w:rPr>
                <w:rFonts w:hint="eastAsia"/>
                <w:b/>
                <w:sz w:val="24"/>
                <w:szCs w:val="24"/>
              </w:rPr>
              <w:t>5、标准中如果涉及专利，应有明确的知识产权说明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1" w:hRule="atLeast"/>
        </w:trPr>
        <w:tc>
          <w:tcPr>
            <w:tcW w:w="8522" w:type="dxa"/>
            <w:gridSpan w:val="6"/>
          </w:tcPr>
          <w:p>
            <w:pPr>
              <w:spacing w:line="360" w:lineRule="auto"/>
              <w:rPr>
                <w:rFonts w:hint="eastAsia"/>
                <w:sz w:val="24"/>
                <w:szCs w:val="24"/>
              </w:rPr>
            </w:pPr>
            <w:r>
              <w:rPr>
                <w:rFonts w:hint="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6、采用国际标准或国外先进标准的，说明采标程度，以及</w:t>
            </w:r>
            <w:r>
              <w:rPr>
                <w:rFonts w:hint="eastAsia" w:ascii="宋体" w:eastAsia="宋体" w:cs="宋体"/>
                <w:b/>
                <w:kern w:val="0"/>
                <w:sz w:val="24"/>
                <w:szCs w:val="24"/>
              </w:rPr>
              <w:t>国内外同类标准水平的对比情况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sz w:val="24"/>
                <w:szCs w:val="24"/>
              </w:rPr>
            </w:pPr>
            <w:r>
              <w:rPr>
                <w:rFonts w:hint="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hint="eastAsia"/>
                <w:b/>
                <w:sz w:val="24"/>
                <w:szCs w:val="24"/>
              </w:rPr>
              <w:t>7、重大分歧意见的处理经过和依据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sz w:val="24"/>
                <w:szCs w:val="24"/>
              </w:rPr>
            </w:pPr>
            <w:r>
              <w:rPr>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b/>
                <w:sz w:val="24"/>
                <w:szCs w:val="24"/>
              </w:rPr>
            </w:pPr>
            <w:r>
              <w:rPr>
                <w:rFonts w:ascii="宋体" w:eastAsia="宋体" w:cs="宋体"/>
                <w:b/>
                <w:kern w:val="0"/>
                <w:sz w:val="24"/>
                <w:szCs w:val="24"/>
              </w:rPr>
              <w:t>8</w:t>
            </w:r>
            <w:r>
              <w:rPr>
                <w:rFonts w:hint="eastAsia" w:ascii="宋体" w:eastAsia="宋体" w:cs="宋体"/>
                <w:b/>
                <w:kern w:val="0"/>
                <w:sz w:val="24"/>
                <w:szCs w:val="24"/>
              </w:rPr>
              <w:t>、贯彻标准的要求和措施建议（包括组织措施、技术措施、过渡办法、实施日期等）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sz w:val="24"/>
                <w:szCs w:val="24"/>
              </w:rPr>
            </w:pPr>
            <w:r>
              <w:rPr>
                <w:rFonts w:hint="eastAsia"/>
                <w:sz w:val="24"/>
                <w:szCs w:val="24"/>
              </w:rPr>
              <w:t>要求：</w:t>
            </w:r>
            <w:r>
              <w:rPr>
                <w:sz w:val="24"/>
                <w:szCs w:val="24"/>
              </w:rPr>
              <w:t xml:space="preserve"> </w:t>
            </w:r>
            <w:r>
              <w:rPr>
                <w:rFonts w:hint="eastAsia"/>
                <w:sz w:val="24"/>
                <w:szCs w:val="24"/>
              </w:rPr>
              <w:t>通过各类媒体、网络宣传，使相关标准化知识家喻户晓，并初步深入人心；按照标准规定，规范</w:t>
            </w:r>
            <w:r>
              <w:rPr>
                <w:rFonts w:hint="eastAsia"/>
                <w:sz w:val="24"/>
                <w:szCs w:val="24"/>
                <w:lang w:eastAsia="zh-CN"/>
              </w:rPr>
              <w:t>西山焦枣生产加工</w:t>
            </w:r>
            <w:r>
              <w:rPr>
                <w:rFonts w:hint="eastAsia"/>
                <w:sz w:val="24"/>
                <w:szCs w:val="24"/>
              </w:rPr>
              <w:t>，对原有不符合标准之处进行有效整改；通过多样化宣贯形式，广泛推广标准化工作，使标准化意识得到明显提升。</w:t>
            </w:r>
          </w:p>
          <w:p>
            <w:pPr>
              <w:widowControl/>
              <w:shd w:val="clear" w:color="auto" w:fill="FFFFFF"/>
              <w:spacing w:line="360" w:lineRule="auto"/>
              <w:jc w:val="left"/>
              <w:rPr>
                <w:sz w:val="24"/>
                <w:szCs w:val="24"/>
              </w:rPr>
            </w:pPr>
            <w:r>
              <w:rPr>
                <w:rFonts w:ascii="宋体" w:eastAsia="宋体" w:cs="宋体"/>
                <w:kern w:val="0"/>
                <w:sz w:val="24"/>
                <w:szCs w:val="24"/>
              </w:rPr>
              <w:t>措施建议</w:t>
            </w:r>
            <w:r>
              <w:rPr>
                <w:rFonts w:hint="eastAsia" w:ascii="宋体" w:eastAsia="宋体" w:cs="宋体"/>
                <w:kern w:val="0"/>
                <w:sz w:val="24"/>
                <w:szCs w:val="24"/>
              </w:rPr>
              <w:t>：（1）组织措施：</w:t>
            </w:r>
            <w:r>
              <w:rPr>
                <w:rFonts w:hint="eastAsia"/>
                <w:sz w:val="24"/>
                <w:szCs w:val="24"/>
              </w:rPr>
              <w:t>a）将地方标准宣贯工作作为落实基础工作的重点，明确各标准要素和操作流程，将各项要求落到实处；b）在开展宣贯实施工作的过程中，应严格遵守各项工作要求，实事求是，将标准化宣贯工作落到实处。在宣贯过程中应根据实际情况，若发现有不合实际的条款，应及时向有关部门进行反馈，进行持续改进。c）宣贯过程中，注意留痕，如利用通知文件、会议纪要及现场照片等方式进行记录。（2）技术措施：a）广泛开展社会性宣传。要把标准化作为工作的重中之重，深入开展宣传，充分发挥电视、报纸、广播、网络、杂志等媒体的作用。抓好相关人员学习培训工作。b）通过举办培训班、研讨会和讲座等方式，对相关人员进行适当的培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rFonts w:ascii="宋体" w:eastAsia="宋体" w:cs="宋体"/>
                <w:b/>
                <w:kern w:val="0"/>
                <w:sz w:val="24"/>
                <w:szCs w:val="24"/>
              </w:rPr>
            </w:pPr>
            <w:r>
              <w:rPr>
                <w:rFonts w:ascii="宋体" w:eastAsia="宋体" w:cs="宋体"/>
                <w:b/>
                <w:kern w:val="0"/>
                <w:sz w:val="24"/>
                <w:szCs w:val="24"/>
              </w:rPr>
              <w:t>9</w:t>
            </w:r>
            <w:r>
              <w:rPr>
                <w:rFonts w:hint="eastAsia" w:ascii="宋体" w:eastAsia="宋体" w:cs="宋体"/>
                <w:b/>
                <w:kern w:val="0"/>
                <w:sz w:val="24"/>
                <w:szCs w:val="24"/>
              </w:rPr>
              <w:t>、废止现行相关标准的建议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rFonts w:ascii="宋体" w:eastAsia="宋体" w:cs="宋体"/>
                <w:kern w:val="0"/>
                <w:sz w:val="24"/>
                <w:szCs w:val="24"/>
              </w:rPr>
            </w:pPr>
            <w:r>
              <w:rPr>
                <w:rFonts w:ascii="宋体" w:eastAsia="宋体" w:cs="宋体"/>
                <w:kern w:val="0"/>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rFonts w:ascii="宋体" w:eastAsia="宋体" w:cs="宋体"/>
                <w:b/>
                <w:kern w:val="0"/>
                <w:sz w:val="24"/>
                <w:szCs w:val="24"/>
              </w:rPr>
            </w:pPr>
            <w:r>
              <w:rPr>
                <w:rFonts w:ascii="宋体" w:eastAsia="宋体" w:cs="宋体"/>
                <w:b/>
                <w:kern w:val="0"/>
                <w:sz w:val="24"/>
                <w:szCs w:val="24"/>
              </w:rPr>
              <w:t>10</w:t>
            </w:r>
            <w:r>
              <w:rPr>
                <w:rFonts w:hint="eastAsia" w:ascii="宋体" w:eastAsia="宋体" w:cs="宋体"/>
                <w:b/>
                <w:kern w:val="0"/>
                <w:sz w:val="24"/>
                <w:szCs w:val="24"/>
              </w:rPr>
              <w:t>、其它应予说明的事项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rPr>
                <w:sz w:val="24"/>
                <w:szCs w:val="24"/>
              </w:rPr>
            </w:pPr>
            <w:r>
              <w:rPr>
                <w:sz w:val="24"/>
                <w:szCs w:val="24"/>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F1"/>
    <w:rsid w:val="00006D76"/>
    <w:rsid w:val="001A1D19"/>
    <w:rsid w:val="001E2CB6"/>
    <w:rsid w:val="00240779"/>
    <w:rsid w:val="002611B1"/>
    <w:rsid w:val="00276729"/>
    <w:rsid w:val="00295C9D"/>
    <w:rsid w:val="00405D21"/>
    <w:rsid w:val="004D420D"/>
    <w:rsid w:val="005F453A"/>
    <w:rsid w:val="006822A5"/>
    <w:rsid w:val="00711892"/>
    <w:rsid w:val="007179D7"/>
    <w:rsid w:val="00727D1F"/>
    <w:rsid w:val="00744412"/>
    <w:rsid w:val="00790124"/>
    <w:rsid w:val="00796FF1"/>
    <w:rsid w:val="007D178B"/>
    <w:rsid w:val="007F473A"/>
    <w:rsid w:val="00811638"/>
    <w:rsid w:val="00822F05"/>
    <w:rsid w:val="00846E23"/>
    <w:rsid w:val="00930CED"/>
    <w:rsid w:val="00A14BFD"/>
    <w:rsid w:val="00A943BE"/>
    <w:rsid w:val="00BE7EBC"/>
    <w:rsid w:val="00C12BBA"/>
    <w:rsid w:val="00EA0D10"/>
    <w:rsid w:val="00ED0BD6"/>
    <w:rsid w:val="00EF2A0C"/>
    <w:rsid w:val="00F34888"/>
    <w:rsid w:val="00F35524"/>
    <w:rsid w:val="00F5187D"/>
    <w:rsid w:val="00F547C8"/>
    <w:rsid w:val="1F89631C"/>
    <w:rsid w:val="4F9A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段 Char"/>
    <w:link w:val="11"/>
    <w:qFormat/>
    <w:uiPriority w:val="0"/>
    <w:rPr>
      <w:rFonts w:ascii="宋体"/>
    </w:rPr>
  </w:style>
  <w:style w:type="paragraph" w:customStyle="1" w:styleId="11">
    <w:name w:val="段"/>
    <w:link w:val="1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2">
    <w:name w:val="nospacing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312</Words>
  <Characters>1782</Characters>
  <Lines>14</Lines>
  <Paragraphs>4</Paragraphs>
  <TotalTime>9</TotalTime>
  <ScaleCrop>false</ScaleCrop>
  <LinksUpToDate>false</LinksUpToDate>
  <CharactersWithSpaces>2090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2020-10-28T01:54:00Z</dcterms:created>
  <dc:creator>王雪</dc:creator>
  <cp:lastModifiedBy>coca koala</cp:lastModifiedBy>
  <dcterms:modified xsi:type="dcterms:W3CDTF">2020-11-10T03:51:53Z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